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177 vom 28. Dezember 2020</w:t>
      </w:r>
    </w:p>
    <w:p>
      <w:r>
        <w:t>SZ Gerichte, 2020-12-28, DE</w:t>
      </w:r>
    </w:p>
    <w:p>
      <w:r>
        <w:rPr>
          <w:b/>
        </w:rPr>
        <w:t xml:space="preserve">Quelle: </w:t>
      </w:r>
      <w:r>
        <w:t>https://mcp.opencaselaw.ch/entscheid/sz_gerichte_BEK 2020 177</w:t>
      </w:r>
    </w:p>
    <w:p>
      <w:r>
        <w:t>FR: SZ_GERICHTE BEK 2020 177 du 28 décembre 2020</w:t>
      </w:r>
    </w:p>
    <w:p>
      <w:r>
        <w:t>IT: SZ_GERICHTE BEK 2020 177 del 28 dicembre 2020</w:t>
      </w:r>
    </w:p>
    <w:p>
      <w:pPr>
        <w:pStyle w:val="Heading2"/>
      </w:pPr>
      <w:r>
        <w:t>Regeste</w:t>
      </w:r>
    </w:p>
    <w:p>
      <w:r>
        <w:t>SchKG-Beschwerde, Fahrzeugpfändung | SchKG-Beschwerde</w:t>
      </w:r>
    </w:p>
    <w:p>
      <w:pPr>
        <w:pStyle w:val="Heading2"/>
      </w:pPr>
      <w:r>
        <w:t>Erwägungen</w:t>
      </w:r>
    </w:p>
    <w:p>
      <w:r>
        <w:rPr>
          <w:b/>
        </w:rPr>
        <w:t>E. 1</w:t>
      </w:r>
    </w:p>
    <w:p>
      <w:r>
        <w:t>\n \n \n \n \n \n \n \n \n \n Beschluss vom 28. Dezember 2020 \n BEK 2020 177 \n \n \n \n \n \n Mitwirkend \n Kantonsgerichtspräsident Dr. Urs Tschümperlin, Kantonsrichter Clara Betschart und Josef Reichlin, Gerichtsschreiberin lic. iur. Gabriela Thurnherr. \n \n \n \n \n \n \n \n \n \n In Sachen \n A.________, Beschwerdeführer,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